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Утверждаю 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Заведующий МБДОУ д\с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  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Ласточка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Москвичёва Л.Н.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                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Отчет о результатах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самообследования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муниципального бюджетного дошкольного образовательного учреждения -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детский сад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Ласточка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г. Аркадака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 2014-2015 учебный год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Аналитическая часть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    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Целями проведения самообследования МБДОУ являются обеспечение доступности и открытости информации о деятельности МБДОУ. В процессе самообследования были проведены оценка образовательной деятельности, системы управления МБДОУ, содержания и качества подготовки воспитанников, организация воспитательно-образовательного процесса, анализ движения воспитанников, качества кадрового, учебно-методического, библиотечно-информационного обеспечения, материально-технической базы, функционирования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внутренней системы оценки качества образования, анализ показателей деятельности МБДОУ.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Муниципальное бюджетное дошкольное образовательное учреждение -детский сад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Ласточка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далее - МБДОУ) введено в эксплуатацию в 1976 году.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Учреждение расположено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ул. Жилучасток 1 д.1б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Ближайшее окружение: ФОК, клуб Надежда.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Дошкольное учреждение осуществляет свою деятельность в соответствии c Законом РФ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образовании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29.12.2012г, № 273-ФЗ,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Порядком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образования, утвержденным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приказом Министерства образования и науки РФ от 30.08.2013г. № 1014,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Санитарно-эпидемиологическими правилами и нормативами СанПиН 2.4.1.3049-13, Уставом МБДОУ, Федеральным законом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основных гарантиях прав ребёнка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Конвенцией ООН о правах ребёнка.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Детский сад посещает 84 воспитанников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возрасте от 1.5 до 7 лет.</w:t>
        <w:br/>
        <w:t xml:space="preserve">Количество групп - 4.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Количественный состав групп: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младшая группа - 16 воспитанников;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младшая группа -20 воспитанника;</w:t>
        <w:br/>
        <w:t xml:space="preserve">средняя группа  -24 воспитанников;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подготовительная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 школе группа- 20 воспитанник.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Режим работы детского сада: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дневная рабочая неделя с выходными днями (суббота, воскресенье).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Группа с 10,5 часовым пребыванием детей работает с 7.30 до 18.00.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II. 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Результаты анализа показателей деятельности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2.1.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Система управления организации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Управление Муниципальным бюджетным дошкольным образовательным учреждением - детский сад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Ласточка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осуществляется в соответствии с Уставом МБДОУ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законодательством РФ.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детском саду реализуется возможность участия в управлении учреждением всех участников образовательного процесса. В соответствии с Уставом общественная структура управления МБДОУ представлена Общим собранием работников, Педагогическим советом.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Общее собрание работников вправе принимать решения, если в его работе участвует более половины работников, для которых Учреждение является основным местом работы. В периоды между Общими собраниями интересы трудового коллектива представляет Профсоюзный комитет.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Педагогический совет осуществляет руководство образовательной деятельностью.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Отношения между МБДОУ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управлением образования администрации Аркадакского муниципального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района определяются действующим законодательством РФ, нормативно-правовыми документами органов государственной власти, местного самоуправления и Уставом и договором с учредителем.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Отношения МБДОУ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родителями (законными представителями) воспитанников регулируются в порядке, установленном Законом РФ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 образовании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Уставом.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Вывод: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МБДОУ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зарегистрировано и функционирует в соответствии с нормативными документами в сфере образования Российской Федерации. Структура и механизм управления дошкольным учреждением определяет его стабильное функционирование.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2. 2.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Образовательная деятельность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1.2.1.     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Содержание образовательной деятельности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МБДОУ реализуются современные образовательные программы и методики дошкольного образования, используются информационные технологии, создана комплексная система планирования образовательной деятельности с учетом направленности реализуемой образовательной программы, возрастных особенностей воспитанников, которая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позволяет поддерживать качество подготовки воспитанников к школе на достаточно высоком уровне.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Содержание программы соответствует основным положениям возрастной психологии и дошкольной педагогики; выстроено с учетом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 основана на комплексно-тематическом принципе построения образовательного процесса; 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 составлена в соответствии с образовательными областями: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Физическое развитие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Социально-коммуникативное развитие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Познавательное развитие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Художественно-эстетическое развитие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 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Речевое развитие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Реализация каждого направления предполагает решение специфических задач во всех видах детской деятельности, имеющих место в режиме дня дошкольного учреждения: режимные моменты, игровая деятельность; специально организованные традиционные и интегрированные занятия; индивидуальная и подгрупповая работа; самостоятельная деятельность; опыты и экспериментирование.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Базовая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программа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 редакцией Т.И.Бабаева, А.Г. Гогоберидзе, З.А.Михайлова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др. СПб: ООО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ИЗДАТЕЛЬСТВО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ДЕТСТВО-ПРЕСС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целью осуществления приоритетного направления интеллектуального развития воспитанников использовались следующие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парциальные программы и методики: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 экологического образования детей Н.Н. Кондратьевой;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Основы здорового образа жизни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 редакцией Н.П. Смирновой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Безопасность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Авдеева И.И.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Дополнительное образование воспитанников.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учреждении созданы условия для организации дополнительного образования воспитанников по следующим приоритетным направлениям: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физическому, эстетическому, познавательному, речевому: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     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Театральный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кружок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Театр – творчество – дети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Н.Ф. Сорокиной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;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  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Кружок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физическое развитие ОО -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Островок здоровья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Е.Ю. Александрова.  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      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экологический кружок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Войти в природу другом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З.Ф.Аксёнова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кружок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Волшебный мир оригами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Афонькин С.Ю. Афонькина Е.Ю.;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кружок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Радуга/ художники умельцы/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Т.И. Гризик, Т.Н. Доронова, Е.Ф.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каждый вид дополнительного образования разработан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план, ведется анализ их эффективности.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Отношения с социальными учреждениями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Дошкольное образовательное учреждение поддерживает прочные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отношения с социальными учреждениями :</w:t>
      </w:r>
    </w:p>
    <w:p>
      <w:pPr>
        <w:numPr>
          <w:ilvl w:val="0"/>
          <w:numId w:val="1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Детская поликлиника </w:t>
      </w:r>
    </w:p>
    <w:p>
      <w:pPr>
        <w:numPr>
          <w:ilvl w:val="0"/>
          <w:numId w:val="1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Школа искусств</w:t>
      </w:r>
    </w:p>
    <w:p>
      <w:pPr>
        <w:numPr>
          <w:ilvl w:val="0"/>
          <w:numId w:val="1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Детская библиотека</w:t>
      </w:r>
    </w:p>
    <w:p>
      <w:pPr>
        <w:numPr>
          <w:ilvl w:val="0"/>
          <w:numId w:val="1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ФОК</w:t>
      </w:r>
    </w:p>
    <w:p>
      <w:pPr>
        <w:numPr>
          <w:ilvl w:val="0"/>
          <w:numId w:val="1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МОУ СОШ№3</w:t>
      </w:r>
    </w:p>
    <w:p>
      <w:pPr>
        <w:numPr>
          <w:ilvl w:val="0"/>
          <w:numId w:val="1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Городской краеведческий музей.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Дошкольное учреждение осуществляет сотрудничество с школой №3. Права и обязанности регулируются договором. Совместно со школой был разработан план мероприятий, предусматривающий тесный контакт воспитателей и учителей начальной школы, воспитанников дошкольного учреждения и учеников первого класса:</w:t>
      </w:r>
    </w:p>
    <w:p>
      <w:pPr>
        <w:numPr>
          <w:ilvl w:val="0"/>
          <w:numId w:val="12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отслеживалась адаптация выпускников детского сада; </w:t>
      </w:r>
    </w:p>
    <w:p>
      <w:pPr>
        <w:numPr>
          <w:ilvl w:val="0"/>
          <w:numId w:val="12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проводилась диагностика готовности детей к школе;</w:t>
      </w:r>
    </w:p>
    <w:p>
      <w:pPr>
        <w:numPr>
          <w:ilvl w:val="0"/>
          <w:numId w:val="12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экскурсии различной направленности.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Школе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искусств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старшие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дошкольники посещают концерты различных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коллективов.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выставочном зале наши дети знакомятся с различными выставками и сами принимают активное участие в выставках. Наши воспитанники посещают городскую детскую библиотеку. Сотрудники библиотеки организовывают для детей различные праздники, игры, беседы, развлечения.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Детский сад сотрудничает с детской поликлиникой. Такое взаимодействие помогает выявить и предупредить различные заболевания, оказать своевременную помощь детям.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физкультурно-оздоровительном комплексе наши дети посещают различные секции.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2.2.2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Организация образовательного процесса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Учебный план составлен в соответствии с современными дидактическими, санитарными и методическими требованиями, содержание выстроено в соответствии с ФГОС.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составлении плана учтены предельно допустимые нормы учебной нагрузки.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Организованная в ДОУ предметно-развивающая среда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инициирует познавательную и творческую активность детей,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предоставляет ребенку свободу выбора форм активности, обеспечивает содержание разных форм детской деятельности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безопасна и комфорта, соответствует интересам, потребностям и возможностям каждого ребенка, обеспечивает гармоничное отношение ребенка с окружающим миром.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Взаимодействие с родителями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коллектив МБДОУ строит на принципе сотрудничества. </w:t>
        <w:br/>
        <w:t xml:space="preserve">При этом решаются приоритетные задачи:</w:t>
      </w:r>
    </w:p>
    <w:p>
      <w:pPr>
        <w:numPr>
          <w:ilvl w:val="0"/>
          <w:numId w:val="1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повышение педагогической культуры родителей;</w:t>
      </w:r>
    </w:p>
    <w:p>
      <w:pPr>
        <w:numPr>
          <w:ilvl w:val="0"/>
          <w:numId w:val="1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приобщение родителей к участию в жизни детского сада;</w:t>
      </w:r>
    </w:p>
    <w:p>
      <w:pPr>
        <w:numPr>
          <w:ilvl w:val="0"/>
          <w:numId w:val="1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изучение семьи и установление контактов с ее членами для согласования воспитательных воздействий на ребенка.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решения этих задач используются различные формы работы: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групповые родительские собрания, консультации;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проведение совместных мероприятий для детей и родителей;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анкетирование;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наглядная информация;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показ занятий для родителей;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выставки совместных работ;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посещение открытых мероприятий и участие в них;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заключение договоров с родителями вновь поступивших детей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Работает консультативная служба специалистов: педагога-психолога, музыкального руководителя, старшей медсестры.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Образовательная деятельность осуществляется в процессе организации различных видов детской деятельности, образовательной деятельности, осуществляемой в ходе режимных моментов, самостоятельной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деятельности, взаимодействия с семьями детей. Основной формой работы с детьми дошкольного возраста и ведущим видом деятельности для них является игра. Образовательный процесс реализуется в адекватных дошкольному возрасту формах работы с детьми.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течение учебного года в методическом кабинете организовывались постоянно действующие выставки новинок методической литературы, тематические и по запросам педагогов,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постоянно оформлялись стенды информации.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2.2.3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Качество подготовки обучающихся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основании Федерального государственного образовательного стандарта дошкольного образования, утвержденного Приказом Министерства образования и науки Российской Федерации от 17.10.2013 № 1155, в целях оценки эффективности педагогических действий и лежащей в основе их дальнейшего планирования проводилась оценка индивидуального развития детей.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Результаты педагогического анализа показывают преобладание детей с высоким и средним уровнями развития, что говорит об эффективности педагогического процесса в МБДОУ.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Результатом осуществления воспитательно-образовательного процесса явилась качественная подготовка детей к обучению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школе. Готовность дошкольника к обучению в школе характеризует достигнутый уровень психологического развития накануне поступления в школу.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Хорошие результаты достигнуты благодаря использованию в работе методов, способствующих развитию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самостоятельности, познавательных интересов детей, созданию проблемно-поисковых ситуаций и обогащению предметно-развивающей среды.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Основная общеобразовательная программа дошкольного образования МБДОУ реализуется в полном объеме.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2.3.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Качество кадрового обеспечения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 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Работа с кадрами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была направлена на повышение профессионализма, творческого потенциала педагогической культуры педагогов, оказание методической помощи педагогам.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Составлен план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прохождения аттестации, повышения квалификации педагогов.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Дошкольное образовательное учреждение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укомплектовано кадрами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полностью. Педагоги детского сада постоянно повышают свой профессиональный уровень, посещают методические объединения, знакомятся с опытом работы своих коллег и других дошкольных учреждений, приобретают и изучают новинки периодической и методической литературы.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Материально-техническая база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дошкольном учреждении создана материально-техническая база для жизнеобеспечения и развития детей, ведется систематически работа по созданию предметно-развивающей среды. Здание детского сада светлое, имеется центральное отопление, вода, канализация, сантехническое оборудование в удовлетворительном состоянии. В двух  групповых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комнатах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спальные комнаты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отделены друг от друга.</w:t>
        <w:br/>
        <w:t xml:space="preserve">В детском саду имеются: групповые помещения, кабинет заведующего,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пищеблок, прачечная, медицинский кабинет.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Все кабинеты оформлены. При создании предметно-развивающей среды воспитатели учитывают возрастные, индивидуальные особенности детей своей группы. Оборудованы групповые комнаты, включающие игровую, познавательную, обеденную зоны. Группы постепенно пополняются современным игровым оборудованием,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современными информационными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стендами. Предметная среда всех помещений оптимально насыщена, выдержана мера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необходимого и достаточного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каждого вида деятельности, представляет собой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поисковое поле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ребенка, стимулирующее процесс его развития и саморазвития, социализации и коррекции. В МБДОУ не только уютно, красиво, удобно и комфортно детям, созданная развивающая среда открывает нашим воспитанникам весь спектр возможностей, направляет усилия детей на эффективное использование отдельных ее элементов. Детский сад оснащен 1 персональным компьютером 1 ноутбуком, в каждой группе имеются телевизорыи видео приставки.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детском саду имеется фотокамера, которая используется для съемки занятий, мероприятий, утренников. Отснятые материалы эпизодически используются в воспитательной работе.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Обеспечение условий безопасности выполняется локальными нормативно-правовыми документами: приказами, инструкциями, положениями.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соответствии с требованиями действующего законодательства по охране труда с сотрудниками систематически проводятся разного вида инструктажи: вводный (при поступлении на работу), первичный (с вновь поступившими), повторный, что позволяет персоналу владеть знаниями по охране труда и технике безопасности, правилами пожарной безопасности, действиям в чрезвычайных ситуациях.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воспитанниками детского сада проводятся беседы по ОБЖ, игры по охране здоровья и безопасности, направленные на воспитание у детей сознательного отношения к своему здоровью и жизни.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Медицинский блок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включает в себя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медицинский, процедурный кабинет,изолятор,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оснащен необходимым медицинским инструментарием, набором медикаментов. Старшей медицинской сестрой МБДОУ ведется учет и анализ общей заболеваемости воспитанников, анализ простудных заболеваний.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МБДОУ курирует врач-педиатр детской поликлиники, которая осуществляет лечебно-профилактическую помощь детям, даёт рекомендации родителям по укреплению здоровья детей и предупреждению вирусных, инфекционных заболеваний, проводит совместную работу с педагогическим коллективом по реабилитации детей в условиях детского сада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Проводятся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профилактические мероприятия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Старшей медсестрой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МБДОУ:</w:t>
      </w:r>
    </w:p>
    <w:p>
      <w:pPr>
        <w:numPr>
          <w:ilvl w:val="0"/>
          <w:numId w:val="18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осмотр детей во время утреннего приема;</w:t>
      </w:r>
    </w:p>
    <w:p>
      <w:pPr>
        <w:numPr>
          <w:ilvl w:val="0"/>
          <w:numId w:val="18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антропометрические замеры </w:t>
      </w:r>
    </w:p>
    <w:p>
      <w:pPr>
        <w:numPr>
          <w:ilvl w:val="0"/>
          <w:numId w:val="18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 заболеваемости 1 раз в месяц, в квартал, 1 раз в год;</w:t>
      </w:r>
    </w:p>
    <w:p>
      <w:pPr>
        <w:numPr>
          <w:ilvl w:val="0"/>
          <w:numId w:val="18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ежемесячное подведение итогов посещаемости детей;</w:t>
      </w:r>
    </w:p>
    <w:p>
      <w:pPr>
        <w:numPr>
          <w:ilvl w:val="0"/>
          <w:numId w:val="18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лечебно-профилактические мероприятия: 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2.5.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Функционирование внутренней системы оценки качества образования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Систему качества дошкольного образования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 рассматриваем как систему контроля внутри МБДОУ, которая включает себя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интегративные составляющие:</w:t>
      </w:r>
    </w:p>
    <w:p>
      <w:pPr>
        <w:numPr>
          <w:ilvl w:val="0"/>
          <w:numId w:val="2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Качество научно-методической работы;</w:t>
      </w:r>
    </w:p>
    <w:p>
      <w:pPr>
        <w:numPr>
          <w:ilvl w:val="0"/>
          <w:numId w:val="2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Качество воспитательно-образовательного процесса;</w:t>
      </w:r>
    </w:p>
    <w:p>
      <w:pPr>
        <w:numPr>
          <w:ilvl w:val="0"/>
          <w:numId w:val="2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Качество работы с родителями;</w:t>
      </w:r>
    </w:p>
    <w:p>
      <w:pPr>
        <w:numPr>
          <w:ilvl w:val="0"/>
          <w:numId w:val="2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Качество работы с педагогическими кадрами;</w:t>
      </w:r>
    </w:p>
    <w:p>
      <w:pPr>
        <w:numPr>
          <w:ilvl w:val="0"/>
          <w:numId w:val="2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Качество предметно-пространственной среды.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целью повышения эффективности учебно-воспитательной деятельности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применяем педагогический мониторинг, который даёт качественную и своевременную информацию, необходимую для принятия управленческих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учреждении выстроена четкая система методического контроля и анализа результативности воспитательно-образовательного процесса по всем направлениям развития дошкольника и функционирования МБДОУ в целом. Учебно-методическое обеспечение не полностью соответствует ООПДО ДОУ, ФГОС, условиям реализации основной общеобразовательной программы дошкольного образования.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Недостаточно в детском саду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наглядных пособий для всех групп.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Показатели деятельности МБДОУ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tbl>
      <w:tblPr/>
      <w:tblGrid>
        <w:gridCol w:w="804"/>
        <w:gridCol w:w="7208"/>
        <w:gridCol w:w="1373"/>
      </w:tblGrid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Показатели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Единица </w:t>
            </w:r>
          </w:p>
          <w:p>
            <w:pPr>
              <w:spacing w:before="100" w:after="10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измерения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Образовательная деятельность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Общая численность воспитанников, осваивающих образовательную программу дошкольного образования, в том числе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84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режиме 10.5ч.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84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1.1.2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режиме кратковременного пребывания (3-5 часов)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1.1.3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семейной дошкольной группе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1.1.4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Общая численность воспитанников в возрасте до 3 лет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1.3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Общая численность воспитанников в возрасте от 3 до 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лет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68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1.4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1.4.1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режиме 10.5ч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1.4.2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режиме продлённого дня (12ч)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1.4.3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режиме круглосуточного пребывания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воспитанников с ограниченными возможностями здоровья в общей численности воспитанников, получающих услуги: (ТНР)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1.5.1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коррекции недостатков в физическом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 (или) психическом развитии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1.5.2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освоению образовательной программы дошкольного образования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1.5.3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присмотру и уходу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1.6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7.8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1.7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Общая численность педагогических работников, в том числе: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1.7.1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33.3 %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1.7.2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33.3 %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1.7.3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66.6 %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1.7.4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44.4%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1.8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55,5 %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1.8.1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Высшая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1.8.2.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Первая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55.5%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1.9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работников 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1.9.1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 5 лет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человека,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11.1 %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1.9.2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Свыше 30 лет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человека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22.2 %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1.10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человека,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22.2 %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квалификации/профильную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человек,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83,3 %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1.13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11.1%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1.14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Соотношение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педагогический работник/воспитанник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дошкольной образовательной организации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9/84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человек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1.15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Наличие в образовательной организации следующих педагогических работников: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1.15.1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Музыкального руководителя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1.15.2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Инструктора по физической культуре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нет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1.15.3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Учителя-логопеда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нет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1.15.4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Логопеда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Нет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1.15.5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Учителя-дефектолога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Нет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1.15.6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Педагога-психолога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Инфраструктура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2.1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Общая площадь помещений, в которых осуществляется образовательная деятельность, в расчёте на одного воспитанника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2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2.2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Наличие физкультурного зала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Нет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2.3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Наличие музыкального зала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нет</w:t>
            </w:r>
          </w:p>
        </w:tc>
      </w:tr>
      <w:tr>
        <w:trPr>
          <w:trHeight w:val="1" w:hRule="atLeast"/>
          <w:jc w:val="left"/>
        </w:trPr>
        <w:tc>
          <w:tcPr>
            <w:tcW w:w="804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2.4</w:t>
            </w:r>
          </w:p>
        </w:tc>
        <w:tc>
          <w:tcPr>
            <w:tcW w:w="720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  <w:tc>
          <w:tcPr>
            <w:tcW w:w="137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00" w:after="10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10">
    <w:abstractNumId w:val="30"/>
  </w:num>
  <w:num w:numId="12">
    <w:abstractNumId w:val="24"/>
  </w:num>
  <w:num w:numId="14">
    <w:abstractNumId w:val="18"/>
  </w:num>
  <w:num w:numId="16">
    <w:abstractNumId w:val="12"/>
  </w:num>
  <w:num w:numId="18">
    <w:abstractNumId w:val="6"/>
  </w:num>
  <w:num w:numId="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